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его требования в размере 505 296 592 рубля 26 копеек. Определением Арбитражного суда Кемеровской области от 13.07.2021 требования общества в указанном размере включены в третью очередь реестра. Определением Арбитражного суда Кемеровской области от 04.05.2022 по вновь открывшимся обстоятельствам отменено определение от 13.07.2021; назначено заседание по рассмотрению названного заявления общества. Определением Арбитражного суда Кемеровской области от 07.12.2022, оставленным без изменения постановлениями Седьмого арбитражного апелляционного суда от 09.03.2023 и Арбитражного суда Западно-Сибирского округа от 13.06.2023, отказано в удовлетворении заявления общества о включении его требований в реестр.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Кемеровской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статьей 71 и 100 Федерального закона от 26.10.2002 № 127-ФЗ «О несостоятельности (банкротстве)», исходили из отсутствия оснований для удовлетворения заявления ввиду необоснованности и неподтверждённости оспариваемых требований аффилированного с должником лица – общества.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по Центральному району г. Новокузнецка (подробнее) Межрайонная ИФНС России №14 по Кемеровской области-Кузбассу (подробнее) ООО "Аполло Групп" (подробнее) ООО "Сибирская Инвестиционная Группа" (подробнее) ООО "Строй сфера" (подробнее) ООО УК "Новокузнецкий индустриальный парк" (подробнее) ПАО "ТрансФин-М" (подробнее) Ответчики: ООО "Центр Инженерно-Технологических Решений" (подробнее) Иные лица: Ассоциация арбитражный управляющий "Гарантия" (подробнее) Ассоциация Ведущих Арбитражных Управляющих "Достояние" (подробнее) ООО "БИМС" (подробнее) ООО "Вилон" (подробнее) ООО "СпецСвязьОборудование" (подробнее) Союз "Саморегулируемая организация арбитражных управляющих "Альянс" (подробнее) ФНС России МРИ №9 по Кемеровской области-Кузбассу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