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Козаева Г.О. Арбитражным судом города Москвы рассмотрен объединенный спор по заявлениям кредитора ООО «Юридическая фирма ЛУЧ» о разрешении разногласий по текущим обязательствам должника и кредитора Юдина А.В. о признании недействительными сделок между должником и ООО «Юридическая фирма ЛУЧ» об оказании юридических услуг (дополнительных соглашений и актов выполненных работ). Определением Арбитражного суда города Москвы от 13.01.2023, оставленным без изменения постановлением Девятого арбитражного апелляционного суда от 22.03.2023 и постановлением Арбитражного суда Московского округа от 19.06.2023, в удовлетворении заявления Юдина А.В. о признании недействительными (ничтожными) сделок отказано; разрешены разногласия по текущим обязательствам, включено в пятую очередь реестра требований кредиторов по текущим платежам должника требование ООО «Юридическая фирма ЛУЧ» в размере 1 955 000 рублей основного долга и 492 975 рублей пени. 2 Юдин А.В.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статьями 61.2, 213.32 Федерального закона от 26.10.2002 № 127-ФЗ «О несостоятельности (банкротстве)», статьями 10, 168, 170, 181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сделок недействительными, как совершенных с целью причинения вреда имущественным правам кредиторов, а также недоказанности недобросовестного поведения сторон сделки, признав пропущенным срок исковой давности по заявленному требованию. Разрешая разногласия по текущим обязательствам должника, суды исходили из того, что требование, основанием которого являются акты о приеме-передаче выполненных работ, является текущим, обоснованным и подлежащим включению в реестр требований кредиторов по текущим платежам. С учетом компенсационного характера неустойки в гражданско- правовых отношениях суды признали необходимым снизить заявленный размер неустойки в два раза с учетом положений статьи 333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