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общество «ПКФ Тепличные Технологии» обратилось в суд с заявлением о включении в реестр требований кредиторов должника (далее – реестр) задолженности в размере 102 349 790 рублей 07 копеек. Определением Арбитражного суда Самарской области от 15.02.2023, оставленным без изменения постановлением Одиннадцатого арбитражного апелляционного суда от 03.05.2023, заявление удовлетворено частично; в третью очередь реестра включено требование общества «ПКФ Тепличные в размере 38 890 551 рубль 88 копеек – основной долг, 31 729 619 рублей 09 копеек – неустойка. Постановлением Арбитражного суда Поволжского округа от 11.07.2023 судебные акты изменены; требования общества «ПКФ Тепличные Технологии» признаны подлежащими удовлетворению в очередности, предшествующей распределению ликвидационной квоты;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названное постановление суда округа в части изменения очерёдности удовлетворения требований, оставить 2 определение суда первой инстанции и постановление апелляционного суда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судебные акты, суд округа, руководствуясь правовой позицией, изложенной в пунктах 3.3 и 3.4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пришёл к выводу о наличии оснований для субординации требований аффилированного с должником лица – общества «ПКФ Тепличные Технологии».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