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 решения первого собрания кредиторов должника от 31.03.2023 и незаконными действий по проведению данного собрания. Определением Арбитражного суда Челябинской области от 16.06.2023, оставленным без изменения постановлением Восемнадцатого арбитражного апелляционного суда от 12.07.2023,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12-15 и 71 Федерального закона от 26.10.2002 № 127-ФЗ «О несостоятельности (банкротстве)», исходили из недоказанности причин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Заявитель в жалобе не приводит каких-либо доводов о том, как именно решения, принятые на оспариваемом собрании кредиторов, нарушают его права и законные интересы. Следовательно,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