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и подтверждая правильность этого вывода, суды, исследовав и оценив представленные в материалы дела доказательства, руководствуясь положениями гражданского законодательства, 2 регулирующего спорные правоотношения, исходили, в том числе из недоказанности истцом совокупности условий, необходимых для взыскания с ответчика убытков. Приведенные в кассационной жалобе доводы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«Тафри-консалт»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