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судом округа норм права, просит пересмотреть указанный судебный акт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Отменяя судебные акты судов первой и апелляционной инстанций и направляя дело на новое рассмотрение с целью установления имеющих значение для правильного разрешения спора обстоятельств, суд округа указал на нарушение судами норм процессуального права. 2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птицефабрика «Улыбино»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