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Глобенко Г.Д. в Арбитражный суд Московской области обратилась ИП Ковтун Н.Н. с заявлением о признании торгов от 16.08.2022 № 33133 по лоту №1 недействительными и признании недействительным договора купли-продажи, заключенного с победителем торгов Беловым М.А. Определением Арбитражного суда Московской области от 12.10.2022 в удовлетворении заявления отказано. Определением от 08.12.2022 Десятый арбитражный апелляционный суд перешел к рассмотрению заявления по правилам, установленным для рассмотрения дела в суде первой инстанции, и в качестве соответчика к участию в деле привлек Белова М.А. Постановлением Десятого арбитражного апелляционного суда от 01.02.2023 определение суда первой инстанции отменено; признаны недействительными результаты торгов по продаже имущества должника (лот №1, проведенных в форме публичного предложения и оформленных протоколом, и договор купли-продажи, заключенный по результатам торгов; 2 применены последствия недействительности сделки в виде обязания Белова М.А. возвратить в конкурсную массу должника легковой автомобиль, Белову М.А. возвращены денежные средства, уплаченные за автомобиль, в размере 451 424 рублей 67 копеек, в остальной части в удовлетворении заявления отказано. Арбитражный суд Московского округа постановлением от 01.06.2023 постановление суда апелляционной инстанции отменил, в отмененной части в удовлетворении заявления отказал. ИП Ковтун Н.Н.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Разрешая спор, окружной суд исходил из того, что отсутствие на дату составления протокола об определении участников торгов доказательств перечисления на специальный счет должника задатка для участия в торгах послужило достаточным основанием для недопуска заявителя к торгам в процедуре определения участников торгов, поскольку его заявка не соответствовала требованиям, установленным Федеральным законом от 26.10.2002 № 127-ФЗ «О несостоятельности (банкротстве)», утвержденному судом Положению о порядке, сроках реализации имущества, сообщению о проведении торгов, что с учетом положений статей 110, 139 Закона о банкротстве, статей 448, 449 Гражданского кодекса Российской Федерации не свидетельствует о существенных нарушениях правил проведения торгов.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