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кассационной жалобе ставится вопрос о ее передаче для рассмотрения в судебном заседании Судебной коллегии по экономическим спорам Верховного Суда Российской Федерации.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Суд апелляционной инстанции, исследовав и оценив представленные в материалы дела доказательства, руководствуясь положениями законодательства, регулирующего спорные правоотношения, установив, что ответчиком допущено нарушение обязательств, за которое договором предусмотрена ответственность в виде начисления неустойки, проверив 2 и призвав верным представленный истцом расчет, не усмотрев оснований для снижения размера неустойки по правилам статьи 333 Гражданского кодекса Российской Федерации, пришел к выводу об удовлетворении иска, с чем впоследствии согласился суд округа. Из содержания судебных актов следует, что суд апелляционной инстанции всесторонне исследовал доказательства по делу, установил необходимые для разрешения спора обстоятельства, а суд округа дал надлежащую правовую оценку доводам заявителя. Доводы кассационной жалобы не подтверждают существенных нарушений судами апелляционной инстанции и округа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«Контроль и безопасность»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