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Сафронова А.Е. Арбитражным судом города Москвы рассмотрен объединенный спор по заявлению Маслова П.Г. о включении в реестр требований кредиторов должника задолженности в размере 12 060 300 рублей, как обеспеченной залогом имущества должника, и заявлению финансового управляющего имуществом должника Бабенко Д.Е. о признании недействительным договора займа от 22.01.2018, заключенного между должником и Масловым П.Г. Определением Арбитражного суда города Москвы от 23.11.2022, оставленным без изменения постановлением Девятого арбитражного апелляционного суда от 02.03.2023 и постановлением Арбитражного суда Московского округа от 05.06.2023, требование Маслова П.Г. в размере 8 500 000 рублей основного долга, 1 700 000 рублей процентов, 1 800 000 рублей пени включено в третью очередь реестра требований кредиторов должника, как обеспеченное залогом имущества должника; 2 производство по требованию в части 60 300 рублей расходов по госпошлине прекращено; в удовлетворении заявления финансового управляющего отказано. Сафронов А.Е. и государственная корпорация «Агентство по страхованию вкладов» обратились в Судебную коллегию Верховного Суда Российской Федерации с кассационными жалобами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руководствуясь статьями 807, 808 Гражданского кодекса Российской Федерации, статьями 61.2, 71, 100, 142 Федерального закона от 26.10.2002 № 127-ФЗ «О несостоятельности (банкротстве)», пунктом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суды пришли к выводам о реальности заемных отношений между должником и кредитором, фактической возможности выдачи денежных средств в качестве заемных и отсутствии оснований для признания сделки недействительной на основании пункта 2 статьи 61.2 Закона о банкротстве. Исходя из вышеизложенного,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