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Рязанской области обратилось АО «Алмаз» с заявлением о включении требования в размере 76 067 449 рублей 33 копеек в реестр требований кредиторов должника. Определением Арбитражного суда Рязанской области от 30.01.2023 производство по заявлению АО «Алмаз» приостановлено до вступления в законную силу судебного акта об определении размера субсидиарной ответственности должника в рамках дела № А40-109231/2017. Постановлением Двадцатого арбитражного апелляционного суда от 19.04.2023 определение суда первой инстанции оставлено без изменения. Арбитражный суд Центрального округа постановлением от 21.07.2023 указанные судебные акты оставил без изменения. АО «Алмаз»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 рамках дела № А40-109231/2017 рассмотрение заявления о привлечении должника к субсидиарной ответственности по обязательствам ООО «ЭЛЬТОН» в части определения размера субсидиарной ответственности приостановлено до окончания расчетов с кредиторами общества, суды, руководствуясь статьей 143 Арбитражного процессуального кодекса Российской Федерации, положениями статей 61.16 , 71 , 100 Федерального закона от 26.10.2002 № 127-ФЗ «О несостоятельности (банкротстве)», пришли к выводу о наличии основания для приостановления производства по настоящему спору.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ФУ Рюмин И.Н.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