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руководствуясь положениями законодательства, регулирующего спорные правоотношения, суды пришли к выводу об удовлетворении иска, исходя 2 из установленных обстоятельств наличия на стороне ответчика испрашиваемой задолженности в результате неисполнения им принятых на себя обязательств по договору о приеме платежей платежным субагентом, отклонив доводы ответчика о пропуске истцом срока исковой давности. Доводы кассационной жалобы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Перминова Вячеслава Андреевича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