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Федеральное государственное казенное учреждение «Крымское территориальное управление имущественных отношений» Минобороны России (далее – учреждение) обратилось в суд с заявлением об исключении из конкурсной массы должника и понуждении возвратить недвижимое имущество военного городка № 40. Определением Арбитражного суда Республики Крым от 13.12.2022, оставленным без изменения постановлениями Двадцатого арбитражного апелляционного суда от 17.03.2023 и Арбитражного суда Центрального округа от 08.06.2023, заявление удовлетворено в части исключения имущества из конкурсной массы должника;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Исходя из содержания настоящей жалобы, заявитель не согласен с обжалуемыми судебными актами в части исключения имущества из конкурсной массы должника. Жалоба изучена в пределах изложенных в ней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131 Федерального закона от 26.10.2002 № 127-ФЗ «О несостоятельности (банкротстве)», установив факт передачи оспариваемого имущества в федеральную собственность, пришли к выводу об отсутствии оснований для включения данного имущества в конкурсную массу должника и обоснованности требований учреждения.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заявителя были предметом рассмотрения судов,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