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Васильчук Денис Иванович обратился в суд с заявлением о привлечении комитета, Дурашкина Алексея Александровича, Обыденного Вадима Геннадьевича, Дубынина Николая Викторовича к субсидиарной ответственности по обязательствам должника. Определением Арбитражного суда Челябинской области от 31.10.2022, оставленным без изменения постановлениями Восемнадцатого арбитражного апелляционного суда от 13.03.2023 и Арбитражного суда Уральского округа от 01.06.2023, заявление удовлетворено в части взыскания с комитета в пользу должника убытков в размере 7 479 517 рублей 50 копеек.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в части взыскания с него убытков.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53, 56, 294, 299 Гражданского кодекса Российской Федерации, статьёй 61.11 Федерального закона от 26.10.2002 № 127-ФЗ «О несостоятельности (банкротстве)», установив, что действия комитета по изъятию у должника объекта недвижимости (здания городской бани) не явились основной причиной банкротства, повлекли за собой причинение имущественного вреда должнику и его конкурсным кредиторам, признали доказанным наличие оснований для взыскания с заявителя убытков, верно определив их размер.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о пропуске конкурсным управляющим срока исковой давности, наряду с иными изложенными в настоящей жалобе доводами,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