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Пронина Елена Юрьевна обратилась в суд с заявлением о принятии обеспечительных мер в виде запрета названным в заявлении регистрирующим органам совершать регистрационные действия в отношении принадлежащего обществу недвижимого имущества и транспортных средств. Определением Арбитражного суда Рязанской области от 09.12.2022, оставленным без изменения постановлениями Двадцатого арбитражного апелляционного суда от 03.04.2023 и Арбитражного суда Центрального округа от 16.06.2023,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 конкурсного управляющего, суды, руководствуясь статьями 90 – 92 Арбитражного процессуального кодекса Российской Федерации, статьёй 46 Федерального закона от 26.10.2002 № 127- ФЗ «О несостоятельности (банкротстве)», исходили из того, что заявленные обеспечительные меры в качестве ускоренного и предварительного средства защиты соразмерны требованиям в споре о привлечении общества к субсидиарной ответственности, отвечают цели сохранения баланса имущественных интересов лиц, вовлечённых в спорные правоотношения, служат гарантией исполнимости еще не принятого по делу судебного акта.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