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18.02.2019, оставленным без изменения постановлениями судов апелляционной инстанции от 16.04.2019 и округа от 11.07.2019,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16, 71, 100 Федерального закона от 26.10.2002 № 127-ФЗ «О несостоятельности (банкротстве)» и исходя из конкретных фактических обстоятельств настоящего дела пришли к выводу об отсутствии оснований для включения требований банка, вытекающих из договора поручительства, в реестр требований кредиторов должника. При таких условиях суды отказали в удовлетворении заявленных требований.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Инспекция Федеральной налоговой службы по Курчатовскому району г. Челябинска (подробнее) ООО "Замена масла" (подробнее) ООО " КОВЕНТ ШИНА " (подробнее) ООО "Нокиан Шина" (подробнее) ПАО АКЦИОНЕРНЫЙ КОММЕРЧЕСКИЙ БАНК "ЧЕЛИНДБАНК" (подробнее) Ответчики: Финансовый управляющий Сахно Игоря Алексеевича Гуляев Сергей Юрьевич (подробнее) Иные лица: АССОЦИАЦИЯ "МЕЖРЕГИОНАЛЬНАЯ САМОРЕГУЛИРУЕМАЯ ОРГАНИЗАЦИЯ ПРОФЕССИОНАЛЬНЫХ АРБИТРАЖНЫХ УПРАВЛЯЮЩИХ" (подробнее) Финансовый управляющий Подкорытова Светлана Валерьевна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