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17.10.2022, оставленным без изменения постановлением Тринадцатого арбитражного апелляционного суда от 15.12.2023 и постановлением Арбитражного суда Северо-Западного округа от 06.03.2023, заявление удовлетворено частично. В кассационной жалобе ФИО1 просит об отмене судебных актов, ссылаясь на игнорирование представления управляющему информации о счетах в банке и недоказанности управляющим невозможности самостоятельного получения сведений.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Приведенные в жалобе доводы должника рассмотрены и приняты в качестве основания для частичного отказа в удовлетворении заявления.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"Инвестиционно-строительная компания "Пулковский Меридиан" (подробнее) Иные лица: ААУ "Гарантия" (подробнее) АС СПб и ЛО (подробнее) а/у Егорова Е.А. (подробнее) Комитет по делам записи актов гражданского состояния (подробнее) МИФНС №25 по Санкт-Петербургу (подробнее) ООО "Техпром"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