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«СибКонтакт» обратилось в суд с заявлением о включении в реестр требований кредиторов должника (далее – реестр) задолженности в размере 320 000 рублей основного долга, 431 090 рублей неустойки, образовавшейся в связи с неисполнением должником обязательства по оплате поставленного товара. Определением Арбитражного суда города Москвы от 16.12.2022, оставленным без изменения постановлениями Девятого арбитражного апелляционного суда от 14.03.2023 и Арбитражного суда Московского округа от 31.05.2023, в удовлетворении заявления отказано. В кассационной жалобе, поданной в Верховный Суд Российской Федерации, заявитель просит отменить оспариваемые судебные акты, заявленные требования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во включении заявленного требования в реестр, суды, руководствуясь положениями статей 71 и 100 Федерального закона от 26.10.2002 № 127-ФЗ «О несостоятельности (банкротстве)», исходили из отсутствия надлежащих доказательств, подтверждающих факт поставки должнику товара.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