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разрешении разногласий с конкурсным управляющим должником Бариновым Вячеславом Евгеньевичем относительно порядка и очерёдности удовлетворения его требований, об обязании конкурсного управляющего внести корректировки и представить суду актуальный проект распределения денежных средств должника. Определением Арбитражного суда Краснодарского края от 21.02.2023, оставленным без изменения постановлениями Пятнадцатого арбитражного апелляционного суда от 24.05.2023 и Арбитражного суда Северо-Кавказского округа от 17.07.2023, разногласия разрешены, частично производство по заявлению прекращено.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апелляционный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16, 60 Федерального закона от 26.10.2002 № 127-ФЗ «О несостоятельности (банкротстве)» исходили из наличия вступивших в законную силу судебных актов, которыми установлена очерёдность удовлетворения требований кредитора (в том числе в части заявленных им сумм неустойки, штрафа, процентов за пользование чужими средствами), а также разрешили разногласия в части определения порядка удовлетворения непогашенной суммы компенсации морального вреда, прекратив производство в оставшееся части требований. Выводы судов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