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Московской области от 09.03.2023 удовлетворено заявление Министерства промышленности и торговли Российской Федерации о привлечении его к участию в настоящем деле в качестве третьего лица, не заявляющего самостоятельных требований относительно предмета спора. Конкурсный управляющий должником обратился в Десятый арбитражный апелляционный суд с жалобой на указанное определение. Определением Десятого арбитражного апелляционного суда от 19.05.2023, оставленным без изменения постановлением Арбитражного суда Московского округа от 10.07.2023, прекращено производство по апелляционной жалобе заявителя. В кассационной жалобе, поданной в Верховный Суд Российской Федерации, заявитель просит отменить названные судебные акты и направить вопрос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апелляционной жалобе и подтверждая законность такого прекращения, суды апелляционной инстанции и округа, руководствуясь положениями статьи 150 Арбитражного процессуального кодекса Российской Федерации, правовой позицией, изложенной в пункте 5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исходили из того, что определение суда первой инстанции о привлечении к участию в деле в качестве третьего лица, не заявляющего самостоятельных требований относительно предмета спора, обжалованию не подлежит.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