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Синицы И.В. в Арбитражный суд Владимирской области обратился кредитор Монахов В.В. с заявлением, уточненным в порядке статьи 49 Арбитражного процессуального кодекса Российской Федерации, о включении в конкурсную массу должника принадлежащего должнику на праве собственности земельного участка с расположенными на нем жилым домом и нежилым зданием (баней) и признании указанных жилого дома и нежилого здания самовольными постройками. Определением Арбитражного суда Владимирской области от 25.07.2022, оставленным без изменения постановлением Первого арбитражного апелляционного суда от 03.02.2023 и постановлением Арбитражного суда Волго-Вятского округа от 29.05.2023, в удовлетворении заявления отказано. Монахов В.В.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исходили из того, что при наличии в ЕГРН записи о праве собственности на объект, расположенный на принадлежащем должнику земельном участке, жилой дом площадью 52,3 кв.м не может считаться прекратившим существование как объект недвижимого имущества; сохранение самовольной постройки не нарушает прав и законных интересов кредитора, который не указал, каким образом признание реконструированного жилого дома и здания бани самовольными постройками приведет к защите либо восстановлению какого-либо его права; требование кредитора не направлено на достижение материально-правового результата; реконструированный жилой дом общей площадью 217,9 кв.м является для должника единственным пригодным для постоянного проживания жилым помещением.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