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и процессуального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Исследовав и оценив представленные в материалы дела доказательства, руководствуясь положениями законодательства, регулирующими спорные правоотношения, суды отказали в удовлетворении иска, исходя 2 из установленных обстоятельств ненадлежащего выполнения подрядчиком обусловленных контрактами работ, недоказанности устранения подрядчиком выявленных заказчиком недостатков, отсутствия для заказчика потребительской ценности результата выполненных работ и утраты им интереса к выполнению работ подрядчиком. Из содержания судебных актов следует, что суды всесторонне исследовали доказательства по делу, установили необходимые для разрешения спора обстоятельства и дали надлежащую правовую оценку доводам заявителя.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Ахрамович Елены Юрьевны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