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заявления о пересмотре судебного акта по вновь открывшимся обстоятельствам, суд апелляционной инстанции, с которым согласился суд округа, руководствовался положениями статей 309, 311 АПК РФ, разъяснениями, изложенными в постановлении Пленума Высшего Арбитражного Суда Российской Федерации от 30.06.2011 № 52 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обстоятельства, на которые ссылается заявитель в обоснование своего заявления, не отвечают установленным процессуальным законом критериям, влекущим пересмотр вступившего в законную силу судебного акта. Доводы кассационной жалобы не подтверждают существенных нарушений апелляционным и окружным судами норм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«Проект-12»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