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исковые требования и подтверждая правильность этого вывода, суды, исследовав и оценив представленные в материалы 2 дела доказательства, руководствуясь положениями законодательства, регулирующего спорные правоотношения, исходили из наличия на стороне ответчика неисполненной обязанности по оплате оказанных истцом в спорный период услуг по обращению с твердыми коммунальными отходами.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«Сфера-Инвест»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