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Суд первой инстанции, исследовав и оценив представленные в материалы дела доказательства, принимая во внимание позиции сторон, руководствуясь положениями действующего процессуального законодательства, пришел 2 к выводу о наличии оснований для назначения дополнительной судебной технической экспертизы и приостановления производства по делу. Суды апелляционной инстанции и округа указали на соответствие действий суда первой инстанции нормам процессуального законодательства. Доводы кассационной жалобы не подтверждают существенных нарушений судами норм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«Специализированное тампонажное управление»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