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Изменяя решение суда первой инстанции и частично удовлетворяя иск, суд апелляционной инстанции, с которым согласился суд округа,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2 исходил из установленного факта нарушения ответчиком договорных обязательств, наличия оснований для применения к нему меры ответственности в виде штрафа, соответствующего в удовлетворенном размере последствиям нарушения им обязательств.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заявителя.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«Буровая компания «Дельта»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