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«Югра» (далее – банк) обратилось в Арбитражный суд города Москвы с иском к обществу с ограниченной ответственностью «Единая Служба Супервайзинга» (далее – общество) о взыскании 2 180 000 000 рублей задолженности, 604 188 493 рублей 10 копеек процентов за пользование кредитом, 370 127 301 рублей 03 копеек неустойки на просроченные проценты, 1 870 440 000 рублей неустойки на просроченный основной долг с учетом уточнения требований в порядке статьи 49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«Восток Бурение», конкурсный управляющий общества с ограниченной ответственностью «Восток Бурение» ФИО1. Решением Арбитражного суда города Москвы от 09.09.2022, оставленным без изменения постановлением Девятого арбитражного апелляционного суда от 28.11.2022, требования банка удовлетворены. Арбитражный суд Московского округа постановлением от 18.04.2023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08.08.2023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проанализировав условия договора об открытии кредитной линии и договора поручительства, руководствуясь положениями статей 12 , 309 , 310 , 330 , 361 , 363 , 367 , 809 , 811 , 819 Гражданского кодекса Российской Федерации, пунктами 42, 44 постановления Пленума Верховного Суда Российской Федерации от 24.12.2020 № 45 «О некоторых вопросах разрешения споров о поручительстве», пунктом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определении Судебной коллегии по экономическим спорам Верховного Суда Российской Федерации от 19.10.2021 № 305-ЭС21-15159, суды пришли к выводу о правомерности требований банка и удовлетворили их, учитывая, что сроки поручительства и исковой давности к моменту обращения банка в суд не истекли, отклонив при этом заявление общества о применении статьи 333 Гражданского кодекса Российской Федерации.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ГК "АСВ" (подробнее) ПАО Банк "ЮГРА" (подробнее) Ответчики: ООО "ЕДИНАЯ СЛУЖБА СУПЕРВАЙЗИНГА" (подробнее) Судьи дела: Першутов А.Г. (судья) Судебная практика по: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