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«ЭкоСтройРесурс» (далее – истец) обратилось в Арбитражный суд города Москвы с иском к государственному унитарному предприятию города Москвы «Московский ордена Ленина и ордена Трудового Красного Знамени метрополитен имени В.И. Ленина» (далее – ответчик) о взыскании суммы понесенных убытков в размере 491 156 рублей 90 копеек. Акционерное общество КБ «Интерпромбанк» обратилось с иском к государственному унитарному предприятию города Москвы «Московский ордена Ленина и ордена Трудового Красного Знамени метрополитен имени В.И. Ленина» о взыскании суммы понесенных убытков в размере 499 413 рублей 34 копеек. К участию в деле в качестве третьих лиц, не заявляющих самостоятельных требований относительно предмета спора, привлечены Калининский отдел РОСП ГУ ФССП России по г. Санкт-Петербургу, ФССП России; в качестве третьего лица, заявляющего самостоятельные требования к ответчику о взыскании убытков в размере 499 413 рублей 34 копеек, привлечено АО КБ «Интерпромбанк» (далее – банк). Решением Арбитражного суда города Москвы от 23.09.2022, оставленным без изменения постановлением Девятого арбитражного апелляционного суда от 16.12.2022, требования истца удовлетворены, в удовлетворении требования банка отказано. Арбитражный суд Московского округа постановлением от 17.04.2023 оставил без изменения решение суда первой инстанции и постановление суда апелляционной инстанции. Ответчик обратился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Письмом судьи Верховного Суда Российской Федерации от 03.08.2023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руководствуясь положениями статей 15 , 370 , 393 , пункта 2 статьи 401 Гражданского кодекса Российской Федерации, пункта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пункта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пришли к выводу, что возникновение убытков у истца напрямую связано с неправомерными действиями ответчика, так как регрессное требование банка к истцу не возникло бы, если бы ответчик не обратился к банку с соответствующим требованием о выплате по банковской гарантии без наличия оснований к этому (истцом не было допущено никаких нарушений при исполнении своих обязательств по контракту). На основании изложенного суды удовлетворили требования истца. Обжалуя судебные акты в Верховный Суд Российской Федерации, ответчик приводит доводы, которые являлись предметом рассмотрения судов и получили правовую оценку с учетом установленных фактических обстоятельств дела, связанных с тем, что спорные убытки возникли у истца в результате недобросовестного получения ответчиком денежных средств по банковской гарантии при отсутствии нарушений со стороны истца по обеспечивавшемуся гарантией обязательству. Несогласие ответчика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ответчика, изложенные в кассационной жалобе, направлены на переоценку представленных в материалы дела доказательств и фактических обстоятельств дела, установленных судами, и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"ЭкоСтройРесурс" (подробнее) Ответчики: ГУП ГОРОДА МОСКВЫ "МОСКОВСКИЙ ОРДЕНА ЛЕНИНА И ОРДЕНА ТРУДОВОГО КРАСНОГО ЗНАМЕНИ МЕТРОПОЛИТЕН ИМЕНИ В.И.ЛЕНИНА" (подробнее) Судьи дела: Першутов А.Г.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