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Принимая обжалуемые судебные акты, суды, исследовав и оценив представленные в материалы дела доказательства, руководствуясь 2 положениями гражданского законодательства и законодательства, регулирующего обращение с твердыми коммунальными отходами (далее – ТКО) и порядок их коммерческого учета объема и (или) массы, исходили из подтвержденности факта оказания истцом ответчику в спорный период услуг по обращению с ТКО на условиях типового договора и их неоплаты последним.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«Зиган»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