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материального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Отменяя решение суда первой инстанции и удовлетворяя иск, суд апелляционной инстанции, исследовав и оценив представленные в материалы дела доказательства, руководствуясь положениями гражданского законодательства, исходил из установленных обстоятельств оказания 2 истцом спорных услуг ответчику и неисполнения последним обязательств по их оплате. Суд округа поддержал выводы суда апелляционной инстанции, мотивированно отклонив доводы заявителя.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