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доказательства, представленные заявителем в обоснование несения судебных расходов, руководствуясь положениями действующего процессуального законодательства, учитывая категорию спора и продолжительность его рассмотрения, объем выполненной представителем 2 работы, исходя из принципов разумности и соразмерности, суды частично удовлетворили заявление о взыскании судебных расходов. Доводы кассационной жалобы не подтверждают существенных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«Бекар-Эксплуатация»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