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Кирвалидзе Г.В. определением Арбитражного суда Ростовской области от 15.09.2020, оставленным без изменения постановлением Пятнадцатого арбитражного апелляционного суда от 04.12.2020, отказано в удовлетворении требования администрации Железнодорожного района г. Ростова-на-Дону о сносе объекта капитального строительства и признано право собственности должника на жилой дом. Митрясов В.Е., Головченко Н.Н., Волошина Л.В., Алексеенко А.М., Ковергина Ю.А., Кривошлыков С.В., Ведмецкий К.В. обратились в Арбитражный суд Ростовской области с заявлением о пересмотре определения Арбитражного суда Ростовской области от 15.09.2020 по вновь открывшимся обстоятельствам. Определением Арбитражного суда Ростовской области от 30.01.2023, оставленным без изменения постановлением Пятнадцатого арбитражного апелляционного суда от 31.03.2023 и постановлением Арбитражного суда Северо-Кавказского округа от 01.06.2023, в удовлетворении заявления отказано. 2 Алексеенко А.М., Волошина Л.В., Головченко Н.Н., Ковергина Ю.А., Митрясов В.Е. обратились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заявителями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