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должник с ходатайством об исключении из конкурсной массы земельного участка и расположенного на нем жилого дома. Определением Арбитражного суда города Москвы от 24.01.2023 в удовлетворении заявления отказано. Постановлением Девятого арбитражного апелляционного суда от 21.04.2023 определение суда первой инстанции оставлено без изменения. Арбитражный суд Московского округа постановлением от 06.07.2023 указанные судебные акты отменил и направил обособленный спор на новое рассмотрение в Арбитражный суд города Москвы. ИП ФИО1 и финансовый управляющий ФИО3 обратились в Судебную коллегию по экономическим спорам Верховного Суда Российской Федерации с кассационными жалобами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 с учетом доводов и возражений участвующих в споре лиц,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ПАУ ЦФО (подробнее) ф/у гражданина Поноянова Андрея Анатольевича Титов Александр Андреевич (подробнее) Иные лица: Арбитражный суд г. Москвы (подробнее) Замоскворецкий отдел ЗАГС (подробнее) Межрайонная инспекция ФНС №1 по Липецкой области (подробнее) ОАО "Мосэнергосбыт" Западное отделение (подробнее) Отдел ЗАГС администрации Добринского муниципального района (подробнее) Управление ПФР в Добринском районе (подробнее) Ф/У ТИТОВ А.А.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