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Ссылка заявителя на отсутствие у конкурсного управляющего ответчика истребуемого истцом автомобиля, являясь предметом рассмотрения судов нижестоящих инстанций, мотивированно ими отклонена с указанием иных способов возможной защиты. По иным доводам заявителя обжалуемые судебные акты содержат мотивы отклонения со ссылкой на разъяснения судебной практики.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«Крафт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А.А.Якимов Суд: Верховный Суд РФ (подробнее) Истцы: ООО "Мерседес-Бенц Файненшл Сервисес Рус" (подробнее) Ответчики: ООО "Крафт групп" (подробнее) Судьи дела: Якимов А.А.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