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обществом в электронном виде 22.09.2023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Западно-Сибирского округа от 11.07.2023, вступившее в законную силу, согласно части 5 статьи 289 АПК РФ, со дня его принятия – 11.07.2023, следовательно, двухмесячный срок на подачу кассационной жалобы истек 11.09.2023, тогда как жалоба подана 22.09.2023.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организационные трудности – нахождение в командировке директора, отсутствие иных сотрудников и представителей общества. Между тем, внутренние организационные проблемы юридического лица, обратившегося с кассационной жалобой, не являются причинами, не зависящими от этого лица, и не могут рассматриваться в качестве уважительных причин пропуска срока (пункт 34 постановления Пленума Высшего Арбитражного Суда Российской Федерации от 25.12.2013 № 99 «О процессуальных сроках»).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«Капитал Инвест Гарант» в удовлетворении ходатайства о восстановлении пропущенного процессуального срока подачи кассационной жалобы на определение Арбитражного суда Кемеровской области от 12.11.2022 по делу № А27-5082/2016, постановление Седьмого арбитражного апелляционного суда от 12.04.2023 и постановление Арбитражного суда Западно-Сибирского округа от 11.07.2023 по тому же делу. Жалобу ООО «Капитал Инвест Гарант»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