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Восканяна А.Б. финансовый управляющий имуществом должника обратился в Арбитражный суд города Москвы с заявлением об истребовании у Восканян (Лариной) Анны Алексеевны транспортного средства. Определением Арбитражного суда города Москвы от 31.03.2023 требование финансового управляющего удовлетворено, суд обязал Восканян (Ларину) А.А. передать финансовому управляющему спорный автомобиль, комплект ключей от автомобиля и правоустанавливающие документы на него. Постановлением Девятого арбитражного апелляционного суда от 25.05.2023 определение суда первой инстанции оставлено без изменения. Арбитражный суд Московского округа постановлением от 20.07.2023 указанные судебные акты оставил без изменения. Восканян А.Б.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213.9, 213.25, 213.26 Федерального закона от 26.10.2002 № 127-ФЗ «О несостоятельности (банкротстве)», статьями 34 и 35 Семейного кодекса Российской Федерации, разъяснениями, изложенными в пункте 41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спорное транспортное средство является общим имуществом супругов, составляет конкурсную массу должника и подлежит передаче финансовому управляющему в целях реализации возложенных на него обязанностей при проведении процедуры банкротства, требование финансового управляющего о передаче имущества ответчиком не исполнено.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