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Московской области от 17.11.2022 процедура реализации имущества гражданина Фахри Нур Джамала завершена, в отношении должника не применены правила об освобождении от исполнения обязательств перед кредиторами. Постановлением Десятого арбитражного апелляционного суда от 04.04.2023 определение суда первой инстанции оставлено без изменения. Арбитражный суд Московского округа постановлением от 26.06.2023 указанные судебные акты оставил без изменения. Фахри Нур Джамал обратился в Судебную коллегию Верховного Суда Российской Федерации с кассационной жалобой на принятые судебные акты в части отказа в применении правила об освобождении его от дальнейшего исполнения обязательств перед кредиторами,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2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в обжалуемой части, суды руководствовались статьей 213.28 Федерального закона от 26.10.2002 № 127-ФЗ «О несостоятельности (банкротстве)» и исходили из обстоятельств недобросовестного поведения должника, выразившегося в отчуждении заложенного имущества, сокрытии от финансового управляющего информации об источниках доходов, составе обязательств должника, имеющихся у должника кредиторах, сведений о составе принадлежащего должнику имущества и месте нахождения этого имущества.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