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«Братское монтажное управление «Гидроэлектромонтаж» (далее – кредитор) обратилось в суд с жалобой на действия (бездействие) арбитражного управляющего Сохена А.Ю. Определением Арбитражного суда города Москвы от 15.11.2022, оставленным без изменения постановлениями Девятого арбитражного апелляционного суда от 30.01.2023 и Арбитражного суда Московского округа от 07.06.2023, жалоба удовлетворена в части. Признаны незаконными действия (бездействие) заявителя, выразившиеся: в не принятии мер к увольнению работников должника; в не принятия мер по поиску и инвентаризации имущества; в не представлении отчёта о ходе конкурсного производства собранию кредиторов, суду; в не принятии мер по установлению текущих требований должника; в не принятии мер по уведомлению Федеральной службы судебных приставов о введении конкурсного производства и по получению документов по исполнительным производствам в отношении должника; в представлении суду ненадлежащим образом оформленного финансового анализа и заключения и не передачи первичных документов на основании которых сделаны выводы; в передаче полномочий индивидуального предпринимателя Булатовой М.А. по подготовке финансового анализа, 2 заключений о наличии признаков преднамеренного банкротства и об оспаривании сделок; в не исполнении обязанности по направлению заключения о выявлении преднамеренного банкротства в правоохранительные органы.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части удовлетворения жалобы кредитора и направить дело на новое рассмотрение в суд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20.3, 60, 129 Федерального закона от 26.10.2002 № 127-ФЗ «О несостоятельности (банкротстве)», исходили из доказанности несоответствия оспариваемых действий (бездействия) заявителя требованиям законодательства о банкротстве, повлекшим нарушение прав и законных интересов должника и его кредиторов. Выводы судов соответствуют нормам права, оснований для переоценки выводов судов не имеется. Доводы заявителя о не привлечении к участию в настоящем обособленном споре обществ с ограниченной ответственностью «Международная страховая группа», «СК «ТИТ» и «СК «Гелиос» являются необоснованными, поскольку доказательств, подтверждающих страхование своей ответственности в указанных заявителем организациях, а также наличия обращений последних в арбитражный суд с ходатайствами о вступлении в настоящий обособленный спор, не представлено. Иные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