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совершённых должником в пользу Регионального благотворительного общественного фонда поддержки безработной молодежи (далее – ответчик) по договору пожертвования от 02.06.2020 № 059-20-БП в размере 22 000 000 рублей; применении последствий их недействительности. Определением Арбитражного суда города Москвы от 08.12.2022, оставленным без изменения постановлением Девятого арбитражного апелляционного суда от 03.04.2023, заявление удовлетворено. Постановлением Арбитражного суда Московского округа от 07.07.2023 принятые по делу судебный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суд округа, руководствуясь статьёй 582 Гражданского кодекса Российской Федерации, пунктами 1 и 2 статьи 61.2 Федерального закона от 26.10.2002 № 127-ФЗ «О несостоятельности (банкротстве), исходил из необходимости установления имеющих существенное значение для настоящего спора обстоятельств (в частности, наличия или отсутствия заинтересованности ответчика по отношению к должнику, направленности сделки на вывод денежных средств из конкурсной массы), исследования и оценки доказательств, совершения иных процессуальных действий,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