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«Строительно-финансовая корпорация «Югстрой» (далее – Общество) обратилось в Арбитражный суд города Москвы с исковым заявлением к акционерному обществу «Всероссийский научно- исследовательский и конструкторский институт деревообрабатывающего машиностроения» (далее – Институт) о взыскании 8 676 500 рублей задолженности, 234 622 рублей 07 копеек процентов за пользование суммой займа с продолжением их начисления по дату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Негосударственное образовательное учреждение высшего образования «Международный институт экономики и права», Федеральная служба по финансовому мониторингу (далее – Росфинмониторинг). Решением Арбитражного суда города Москвы от 01.11.2022, оставленным без изменения постановлением Девятого арбитражного апелляционного суда от 13.03.2023 и постановлением Арбитражного суда Московского округа от 26.05.2023,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мнение Росфинмониторинга не могло иметь определяющего значения при разрешении настоящего спора.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15.10.2021 между Обществом (заимодавец) и Институтом (заемщик) заключен договор № 3, согласно которому истец передал 10 000 000 рублей, а ответчик обязался возвратить сумму займа по истечении срока действия договора и уплатить проценты. Во исполнение принятых обязательств Общество перечислило Институту 9 316 500 рублей, что подтверждается соответствующими платежными поручениями. Согласно расчету истца задолженность ответчика составила 8 676 500 рублей. Поскольку инициированный и реализованный досудебный порядок урегулирования спора положительного результата не принес, Общество обратилось в арбитражный суд с настоящим иском. Исследовав и оценив по правилам статьи 71 АПК РФ представленные доказательства, в том числе информацию, предоставленную Росфинмониторингом, руководствуясь статьями 10, 168, 170, 309, 807, 809, 810 Гражданского кодекса Российской Федерации, разъяснениями, изложенными в пункте 87 постановление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выводу, что договор займа заключен между аффилированными лицами в отсутствие разумных экономических причин, что свидетельствует о злоупотреблении правом и мнимости сделки.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«Строительно-финансовая корпорация «Югстрой»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