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Балаяна Г.Б. в Арбитражный суд города Москвы обратился финансовый управляющий его имуществом Капитонов Ю.В. с заявлением о признании недействительным договора купли-продажи квартиры в пользу Балаян Р.Г. и применении последствий недействительности сделки. Определением Арбитражного суда города Москвы от 06.05.2022, оставленным без изменения постановлением Девятого арбитражного апелляционного суда от 03.08.2022, в удовлетворении заявления отказано. Постановлением Арбитражного суда Московского округа от 06.10.2022 указанные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06.02.2023, оставленным без изменения постановлением Девятого арбитражного апелляционного суда от 18.04.2023 и постановлением Арбитражного суда Московского округа от 04.07.2023, заявление 2 удовлетворено, признан недействительным договор купли-продажи квартиры от 24.10.2001 в пользу Балаян Р.Г., применены последствия недействительности сделки в виде восстановления права собственности должника на спорную квартиру и возложения на Балаян Р.Г. обязанности возвратить в конкурсную массу должника указанное недвижимое имущество. Балаян Р.Г.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168, 170 Гражданского кодекса Российской Федерации и исходили из того, что спорный договор купли-продажи квартиры является притворным в части его субъектного состава, поскольку действительным покупателем имущества стал должник – Балаян Г.Б., а не Балаян Р.Г., несмотря на указание последней стороной договора (покупателем). Нарушений или неправильного применения норм процессуального права, которые могли бы явиться безусловным основанием для отмены судебных актов или которые привели или могли привести к принятию неправильных судебных актов, не установлено. Доводы заявителя о допущенных окружным судом нарушениях норм процессуального права (исходя из информации о составе суда, имеющейся в картотеке арбитражных дел) являются необоснованными, поскольку из опубликованных в картотеке арбитражных дел судебных актов окружного суда и размещенного в картотеке текста заявления об отводе судей, являющегося приложением к кассационной жалобе, следует, 3 что судебные разбирательства в суде округа проведены в соответствии со статьей 18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