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Саратовской области от 16.11.2022 заявление удовлетворено. Двенадцатый арбитражный апелляционный суд постановлением от 11.04.2023, оставленным без изменения постановлением Арбитражного суда Поволжского округа от 30.06.2023, отменил определение от 16.11.2022 и в удовлетворении заявления отказал. В кассационной жалобе ФИО1 просит об отмене судебных актов апелляционного и окружного судов, ссылаясь на неравноценное отчуждение имущества, принятие ненадлежащего заключения экспертизы о его стоимости.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установил, что по срокам заключения оспариваемые договоры не попадают под оспариваемые на основании статей 61.2 , 613. Федерального закона от 26.10.2002 № 127-ФЗ «О несостоятельности (банкротстве)» в деле о банкротстве должника. В установленном отсутствии заинтересованности сторон сделок суды правомерно не применили к ним статьи 10 , 168 , 170 Гражданского кодекса Российской Федерации. Вопросы доказывания и оценки доказательств, на которых построены доводы жалобы, не создают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Н.А.Ксенофонтова Суд: Верховный Суд РФ (подробнее) Иные лица: Арбитражный суд Поволжского округа (подробнее) МИФНС России №20 по СО (подробнее) Судьи дела: Ксенофонтова Н.А.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