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03.02.2023, оставленным без изменения постановлением Девятого арбитражного апелляционного суда от 29.08.2022 и постановлением Арбитражного суда Московского округа от 13.12.2022, в удовлетворении заявления отказано. В кассационной жалобе ФИО1 просит об отмене судебных актов, ссылаясь на неправильную оценку совершения спорных платежей.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перечислений денежных средств суды установили отсутствие условий для их недействительности в силу статей 10 , 168 , 170 Гражданского кодекса Российской Федерации, на которых основано заявление.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МИФНС №2 по Волгоградской области (подробнее) Финансовый управляющий Идетова Ж.Н. (подробнее) Иные лица: АО банк "Национальный стандарт" (подробнее) Арбитражный суд Поволжского округа (подробнее) ООО "Радость" (подробнее) ОТДЕЛЕНИЕ ФОНДА ПЕНСИОННОГО И СОЦИАЛЬНОГО СТРАХОВАНИЯ РОССИЙСКОЙ ФЕДЕРАЦИИ ПО ВОЛГОГРАДСКОЙ ОБЛАСТИ (подробнее) ПАО КОММЕРЧЕСКИЙ БАНК "РУССКИЙ ЮЖНЫЙ БАНК" (подробнее) Союз "Саморегулируемая организация "Гильдия арбитражных управляющих" (подробнее) ф/у Идетова Ж.Н.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