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10.10.2022, оставленным без изменения постановлением Девятого арбитражного апелляционного суда от 19.01.2023 и постановлением Арбитражного суда Московского округа от 22.05.2023, заявление удовлетворено. В кассационной жалобе Ястребова Е.В.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исследованных обстоятельствах заключения оспариваемого договора суды установили условия его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Ястребовой Елене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