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16.12.2022 требования кредитора в размере 28 102 977 рублей 45 копеек основного долга, 5 418 870 рублей 01 копейки процентов и 5 165 973 рублей 21 копейки неустойки включены в третью очередь реестра. Одиннадцатый арбитражный апелляционный суд постановлением от 22.02.2023 изменил определение от 16.12.2022, указав, что требования подлежат удовлетворению в составе третьей очереди после погашения требований Молчанова В.Н. Арбитражный суд Поволжского округа постановлением от 18.05.2023 постановление апелляционного суда от 22.02.2023 оставил без изменения. В кассационной жалобе Айвазян Ш.Г. просит об отмене постановлений апелляционного и окружного судов, ссылаясь на неправомерное понижение очередности.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 правомерно исходили из того, что заявитель, обеспечивая исполнение обязательства должника, наряду с ним является должником перед кредитором по основному обязательству, поэтому в случае исполнения обязательства за должника не может получить от него удовлетворения ранее кредитора. Иное видение последствий исполнения обеспечительной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Айвазян Шушаник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