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30.05.2022 требования признаны обоснованными и подлежащими удовлетворению в очередности, предшествующей распределению ликвидационной квоты. Постановлением Девятого арбитражного апелляционного суда от 12.09.2022 определение от 30.05.2022 отменено, требования кредитора признаны необоснованными. Постановлением суда округа от 12.12.2022 данное постановление отменено, определение от 30.05.2022 оставлено в силе. В кассационной жалобе, поданной в Верховный Суд Российской Федерации, заявитель просит обжалуемый судебный акт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и отменяя постановление суда апелляционной инстанции, суд округа руководствовался положениями статей 16 , 71 и 100 Федерального закона от 26.10.2002 № 127-ФЗ «О несостоятельности (банкротстве)» с учетом разъяснений, изложенных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(утвержденном Президиумом Верховного Суда РФ 29.01.2020), и согласился с выводом суда первой инстанции о том, что обязательство должника перед кредитором восстановлено судебным актом по другому делу, что подтверждает его реальный характер. В то же время, поскольку имеются основания для понижения очередности соответствующего долга, суд округа оставил в силе определение от 30.05.2022, которым требования признаны обоснованными и подлежащими удовлетворению в очередности, предшествующей распределению ликвидационной квоты. Доводы заявителя кассационной жалобы выводы суда округа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И.А. Букина Российской Федерации Суд: Верховный Суд РФ (подробнее) Истцы: АО АКБ "Мосуралбанк" (подробнее) АО Роскоммунэнерго (подробнее) ГК "АСВ" (подробнее) ИФНС РОССИИ №16 ПО Г. МОСКВЕ (подробнее) ООО "Довмонт" (подробнее) ООО "Рубеж Система" (подробнее) ООО ТД ТИНКО (подробнее) ООО "ЮРИДИЧЕСКАЯ КОМПАНИЯ "СТОЛИЧНЫЙ ПРАВОВОЙ ЦЕНТР" (подробнее) ПАО Конкурсный управляющий "Вологдаэнергосбыт" Соломонов Андрей Сергеевич (подробнее) Ответчики: ООО "ЭКСПАТРЕЙД" (подробнее) Иные лица: Ассоциации СРО "МЦПУ" (подробнее) Ассоциация СРО АУ Эгида (подробнее) ООО "РУСИСТЕМ" (подробнее) ООО "САММИТ КАПИТАЛ" (подробнее) ООО Специализмрованный организатор торгов Авантаж (подробнее) Судьи дела: Букина И.А. (судья) Последние документы по делу: Определение от 22 сентября 2023 г. по делу № А40-240000/2018 Определение от 10 июля 2023 г. по делу № А40-240000/2018 Определение от 20 марта 2023 г. по делу № А40-240000/2018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