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Кочаряна А.А. в Арбитражный суд города Москвы обратилась ФИО1 с заявлением о включении в реестр требований кредиторов должника задолженности в размере 78 382 302 рублей 14 копеек по договору купли-продажи квартиры. Определением Арбитражного суда города Москвы от 14.04.2022 во включении задолженности в реестр требований кредиторов должника отказано. Постановлением Девятого арбитражного апелляционного суда от 01.07.2022 определение суда первой инстанции отменено, требование ФИО1 признано обоснованным и подлежащим удовлетворению в составе третьей очереди реестра требований кредиторов должника. Постановлением Арбитражного суда Московского округа от 23.09.2022 указанные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17.01.2023, оставленным без изменения постановлением Девятого арбитражного апелляционного суда от 11.04.2023 и постановлением Арбитражного суда Московского округа от 28.06.2023, во включении задолженности в реестр требований кредиторов должника отказано. ФИО1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судебных актов суды руководствовались статьями 71 , 100 , 142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отсутствия правовых оснований для признания требования обоснованным, учитывая отсутствие доказательств, подтверждающих экономическую целесообразность заключения мнимой сделки с аффилированным лицом.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АССОЦИАЦИЯ "НАЦИОНАЛЬНАЯ ОРГАНИЗАЦИЯ АРБИТРАЖНЫХ УПРАВЛЯЮЩИХ"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