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Семенова И.Н. в Арбитражный суд Орловской области обратился финансовый управляющий Кровяков К.А. с заявлением об утверждении Положения о порядке, сроках и условиях продажи имущества должника. Определением Арбитражного суда Орловской области от 15.12.2022, оставленным без изменения постановлением Девятнадцатого арбитражного апелляционного суда от 14.03.2023 и постановлением Арбитражного суда Центрального округа от 26.05.2023, в удовлетворении заявления отказано. Уварова Г.Л.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110-112, 139, 213.25, 213.26, Федерального закона «О несостоятельности (банкротстве)», статьей 446 Гражданского процессуального кодекса Российской Федерации, разъяснениями, изложенными в пункте 40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исходили из того, что спорная квартира является единственным жильем, пригодным для постоянного проживания должника и членов его семьи, учли необходимость обеспечения справедливого баланса между имущественными интересами кредиторов и личными правами должника (в том числе его правами на достойную жизнь и достоинство личности), защиты конституционного права на жилище гражданина-должника и членов его семьи, обеспечения указанным лицам нормальных условий существования и гарантий их социально-экономических прав, в связи с чем оставили заявление финансового управляющего об утверждении Положения о порядке, сроках и условиях продажи имущества без удовлетворения.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