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Верховным Судом Российской Федерации 02.08.2023 вынесено определение о передаче кассационной жалобы для рассмотрения в судебном заседании Судебной коллегии по экономическим спорам Верховного Суда Российской Федерации. При изготовлении текста названного судебного акта была допущена опечатка в наименовании заявителя кассационной жалобы: вместо общества с ограниченной ответственностью «Евразия-плюс» ошибочно указано общество с ограниченной ответственностью «Юридическая компания «Евразия-плюс». При изложенных обстоятельствах, руководствуясь статьей 179 Арбитражного процессуального кодекса Российской Федерации, суд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исправить в определении о передаче кассационной жалобы для рассмотрения в судебном заседании Судебной коллегии по экономическим спорам Верховного Суда Российской Федерации допущенную опечатку. Вместо наименования заявителя кассационной жалобы – общество с ограниченной ответственностью «Юридическая компания «Евразия-плюс» читать общество с ограниченной ответственностью «Евразия-плюс».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