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привлечении ФИО1 к субсидиарной ответственности по обязательствам должника со взысканием 728 049 рублей 37 копеек. Определением Арбитражного суда Тюменской области от 28.11.2022, оставленным без изменения постановлениями Восьмого арбитражного апелляционного суда от 21.02.2023 и Арбитражного суда Западно-Сибирского округа от 01.06.2023, заявление удовлетворено. В кассационной жалобе, поданной в Верховный Суд Российской Федерации, заявитель просит отменить названные судебные акты и отказать в удовлетворении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61.10 и 61.11 Федерального закона от 26.10.2002 № 127-ФЗ «О несостоятельности (банкротстве)», исходили из доказанности совокупности условий, необходимых для привлечения ФИО1, являвшегося контролирующим должника лицом, к субсидиарной ответственности, указав, в частности, на ненадлежащее исполнение обязанности по передаче документации должника, что повлекло затруднения в проведении банкротных процедур. Выводы судов соответствуют нормам права, оснований для переоценки этих выводов по доводам жалоб.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Управление Федеральной налоговой службы по Тюменской области (подробнее) Федеральная налоговая служба (подробнее) Ответчики: ООО "Стройблок" (подробнее) Иные лица: Арбитражный суд Западно-Сибирского округа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