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фонд обратился в суд с заявлением о включении в реестр требований кредиторов должника (далее – реестр) как обеспеченных залогом имущества должника его требований в размере 16 107 894 рубля 75 копеек, основанных на ипотечных сделках от 08.12.2005, обеспечивающих исполнение кредитных обязательств по сделке от 29.11.2005. Определением Арбитражного суда Республики Крым от 24.11.2022, оставленным без изменения постановлениями Двадцатого арбитражного апелляционного суда от 21.03.2023 и Арбитражного суда Центрального округа от 06.07.2023, отказано в удовлетворении требований. В кассационной жалобе, поданной в Верховный Суд Российской Федерации, заявитель просит отменить названные судебные акты и принять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196, 200 и 201 Гражданского кодекса Российской Федерации, статей 71 и 100 Федерального закона от 26.10.2002 № 127-ФЗ «О несостоятельности (банкротстве)», исходили из отсутствия причин для удовлетворения требований по заявленным основаниям, указав на отсутствие надлежащих доказательств наличия непогашенной задолженности и пропуск срока исковой давности, что является самостоятельным основанием для отказа в удовлетворении требований.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